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2"/>
        <w:gridCol w:w="687"/>
        <w:gridCol w:w="719"/>
        <w:gridCol w:w="3621"/>
        <w:gridCol w:w="2020"/>
        <w:gridCol w:w="932"/>
        <w:gridCol w:w="1034"/>
      </w:tblGrid>
      <w:tr w:rsidR="00000000" w:rsidTr="00DF30C2">
        <w:trPr>
          <w:tblCellSpacing w:w="0" w:type="dxa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Список публикаций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Источник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ВАК/</w:t>
            </w:r>
            <w:proofErr w:type="spellStart"/>
            <w:r>
              <w:rPr>
                <w:rFonts w:eastAsia="Times New Roman"/>
                <w:b/>
                <w:bCs/>
              </w:rPr>
              <w:t>Скопус</w:t>
            </w:r>
            <w:proofErr w:type="spellEnd"/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Ираклионова</w:t>
            </w:r>
            <w:proofErr w:type="spellEnd"/>
            <w:r>
              <w:rPr>
                <w:rFonts w:eastAsia="Times New Roman"/>
                <w:b/>
                <w:bCs/>
              </w:rPr>
              <w:t>, Н. С.</w:t>
            </w: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</w:rPr>
              <w:t xml:space="preserve">Некоторые особенности </w:t>
            </w:r>
            <w:proofErr w:type="spellStart"/>
            <w:r>
              <w:rPr>
                <w:rFonts w:eastAsia="Times New Roman"/>
              </w:rPr>
              <w:t>общегематологических</w:t>
            </w:r>
            <w:proofErr w:type="spellEnd"/>
            <w:r>
              <w:rPr>
                <w:rFonts w:eastAsia="Times New Roman"/>
              </w:rPr>
              <w:t xml:space="preserve"> показателей и продукции </w:t>
            </w:r>
            <w:proofErr w:type="spellStart"/>
            <w:r>
              <w:rPr>
                <w:rFonts w:eastAsia="Times New Roman"/>
              </w:rPr>
              <w:t>цитокинов</w:t>
            </w:r>
            <w:proofErr w:type="spellEnd"/>
            <w:r>
              <w:rPr>
                <w:rFonts w:eastAsia="Times New Roman"/>
              </w:rPr>
              <w:t xml:space="preserve">, регулирующих воспаление, при аллергическом рините = </w:t>
            </w:r>
            <w:proofErr w:type="spellStart"/>
            <w:r>
              <w:rPr>
                <w:rFonts w:eastAsia="Times New Roman"/>
              </w:rPr>
              <w:t>Some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features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hematological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parameters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production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cytokines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regulating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inflammation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allergic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rhinitis</w:t>
            </w:r>
            <w:proofErr w:type="spellEnd"/>
            <w:r>
              <w:rPr>
                <w:rFonts w:eastAsia="Times New Roman"/>
              </w:rPr>
              <w:t xml:space="preserve"> / Н. С. </w:t>
            </w:r>
            <w:proofErr w:type="spellStart"/>
            <w:r>
              <w:rPr>
                <w:rFonts w:eastAsia="Times New Roman"/>
              </w:rPr>
              <w:t>Ира</w:t>
            </w:r>
            <w:r>
              <w:rPr>
                <w:rFonts w:eastAsia="Times New Roman"/>
              </w:rPr>
              <w:t>клионова</w:t>
            </w:r>
            <w:proofErr w:type="spellEnd"/>
            <w:r>
              <w:rPr>
                <w:rFonts w:eastAsia="Times New Roman"/>
              </w:rPr>
              <w:t xml:space="preserve">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// Российский </w:t>
            </w:r>
            <w:proofErr w:type="spellStart"/>
            <w:r>
              <w:rPr>
                <w:rFonts w:eastAsia="Times New Roman"/>
              </w:rPr>
              <w:t>аллергологический</w:t>
            </w:r>
            <w:proofErr w:type="spellEnd"/>
            <w:r>
              <w:rPr>
                <w:rFonts w:eastAsia="Times New Roman"/>
              </w:rPr>
              <w:t xml:space="preserve"> журнал. – 2021. – Т. 18, № 3. - С. 35-43. – https://doi.org/10.36691/RJA1444.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</w:t>
            </w:r>
            <w:proofErr w:type="gramStart"/>
            <w:r>
              <w:rPr>
                <w:rFonts w:eastAsia="Times New Roman"/>
              </w:rPr>
              <w:t>_Н</w:t>
            </w:r>
            <w:proofErr w:type="gramEnd"/>
            <w:r>
              <w:rPr>
                <w:rFonts w:eastAsia="Times New Roman"/>
              </w:rPr>
              <w:t xml:space="preserve">екоторые особенности </w:t>
            </w:r>
            <w:proofErr w:type="spellStart"/>
            <w:r>
              <w:rPr>
                <w:rFonts w:eastAsia="Times New Roman"/>
              </w:rPr>
              <w:t>общегематологических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Pr="00DF30C2" w:rsidRDefault="001A2BF3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продукции </w:t>
            </w:r>
            <w:proofErr w:type="spellStart"/>
            <w:r>
              <w:rPr>
                <w:rFonts w:eastAsia="Times New Roman"/>
                <w:b/>
                <w:bCs/>
              </w:rPr>
              <w:t>провоспалительных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цитокинов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пациентов с сочетанием аллергического ринита и </w:t>
            </w:r>
            <w:proofErr w:type="spellStart"/>
            <w:r>
              <w:rPr>
                <w:rFonts w:eastAsia="Times New Roman"/>
                <w:b/>
                <w:bCs/>
              </w:rPr>
              <w:t>Helicobacter</w:t>
            </w:r>
            <w:proofErr w:type="spellEnd"/>
            <w:r>
              <w:rPr>
                <w:rFonts w:eastAsia="Times New Roman"/>
                <w:b/>
                <w:bCs/>
              </w:rPr>
              <w:t xml:space="preserve"> pylori-ассоциированной патологии // .</w:t>
            </w:r>
            <w:r>
              <w:rPr>
                <w:rFonts w:eastAsia="Times New Roman"/>
              </w:rPr>
              <w:t xml:space="preserve"> </w:t>
            </w:r>
            <w:r w:rsidRPr="00DF30C2">
              <w:rPr>
                <w:rFonts w:eastAsia="Times New Roman"/>
                <w:lang w:val="en-US"/>
              </w:rPr>
              <w:t xml:space="preserve">= Features of </w:t>
            </w:r>
            <w:proofErr w:type="spellStart"/>
            <w:r w:rsidRPr="00DF30C2">
              <w:rPr>
                <w:rFonts w:eastAsia="Times New Roman"/>
                <w:lang w:val="en-US"/>
              </w:rPr>
              <w:t>proinflammatory</w:t>
            </w:r>
            <w:proofErr w:type="spellEnd"/>
            <w:r w:rsidRPr="00DF30C2">
              <w:rPr>
                <w:rFonts w:eastAsia="Times New Roman"/>
                <w:lang w:val="en-US"/>
              </w:rPr>
              <w:t xml:space="preserve"> cytokine production in patients with allergic rhinitis combined with h</w:t>
            </w:r>
            <w:r w:rsidRPr="00DF30C2">
              <w:rPr>
                <w:rFonts w:eastAsia="Times New Roman"/>
                <w:lang w:val="en-US"/>
              </w:rPr>
              <w:t xml:space="preserve">elicobacter pylori-associated pathologies / </w:t>
            </w:r>
            <w:r>
              <w:rPr>
                <w:rFonts w:eastAsia="Times New Roman"/>
              </w:rPr>
              <w:t>Н</w:t>
            </w:r>
            <w:r w:rsidRPr="00DF30C2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С</w:t>
            </w:r>
            <w:r w:rsidRPr="00DF30C2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Ираклионова</w:t>
            </w:r>
            <w:proofErr w:type="spellEnd"/>
            <w:r w:rsidRPr="00DF30C2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Э</w:t>
            </w:r>
            <w:r w:rsidRPr="00DF30C2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Б</w:t>
            </w:r>
            <w:r w:rsidRPr="00DF30C2">
              <w:rPr>
                <w:rFonts w:eastAsia="Times New Roman"/>
                <w:lang w:val="en-US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 w:rsidRPr="00DF30C2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С</w:t>
            </w:r>
            <w:r w:rsidRPr="00DF30C2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В</w:t>
            </w:r>
            <w:r w:rsidRPr="00DF30C2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Туркина</w:t>
            </w:r>
            <w:r w:rsidRPr="00DF30C2">
              <w:rPr>
                <w:rFonts w:eastAsia="Times New Roman"/>
                <w:lang w:val="en-US"/>
              </w:rPr>
              <w:t xml:space="preserve">, </w:t>
            </w:r>
            <w:r>
              <w:rPr>
                <w:rFonts w:eastAsia="Times New Roman"/>
              </w:rPr>
              <w:t>А</w:t>
            </w:r>
            <w:r w:rsidRPr="00DF30C2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М</w:t>
            </w:r>
            <w:r w:rsidRPr="00DF30C2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Доценко</w:t>
            </w:r>
            <w:r w:rsidRPr="00DF30C2">
              <w:rPr>
                <w:rFonts w:eastAsia="Times New Roman"/>
                <w:lang w:val="en-US"/>
              </w:rPr>
              <w:t xml:space="preserve">// </w:t>
            </w:r>
            <w:r>
              <w:rPr>
                <w:rFonts w:eastAsia="Times New Roman"/>
              </w:rPr>
              <w:t>Инфекция</w:t>
            </w:r>
            <w:r w:rsidRPr="00DF30C2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</w:t>
            </w:r>
            <w:r w:rsidRPr="00DF30C2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иммунитет</w:t>
            </w:r>
            <w:r w:rsidRPr="00DF30C2">
              <w:rPr>
                <w:rFonts w:eastAsia="Times New Roman"/>
                <w:lang w:val="en-US"/>
              </w:rPr>
              <w:t xml:space="preserve">. – 2021. – </w:t>
            </w:r>
            <w:r>
              <w:rPr>
                <w:rFonts w:eastAsia="Times New Roman"/>
              </w:rPr>
              <w:t>Т</w:t>
            </w:r>
            <w:r w:rsidRPr="00DF30C2">
              <w:rPr>
                <w:rFonts w:eastAsia="Times New Roman"/>
                <w:lang w:val="en-US"/>
              </w:rPr>
              <w:t xml:space="preserve">. 11, № 2. - </w:t>
            </w:r>
            <w:r>
              <w:rPr>
                <w:rFonts w:eastAsia="Times New Roman"/>
              </w:rPr>
              <w:t>С</w:t>
            </w:r>
            <w:r w:rsidRPr="00DF30C2">
              <w:rPr>
                <w:rFonts w:eastAsia="Times New Roman"/>
                <w:lang w:val="en-US"/>
              </w:rPr>
              <w:t>. 383-388. – http://doi.org/10.15789/2220-7619-FOP-1465.</w:t>
            </w:r>
            <w:r w:rsidRPr="00DF30C2">
              <w:rPr>
                <w:rFonts w:eastAsia="Times New Roman"/>
                <w:lang w:val="en-U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2021_Особенности продукции, Scopus_2021_Ос</w:t>
            </w:r>
            <w:r>
              <w:rPr>
                <w:rFonts w:eastAsia="Times New Roman"/>
              </w:rPr>
              <w:t xml:space="preserve">обенности продукции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Scopus, </w:t>
            </w:r>
            <w:proofErr w:type="spellStart"/>
            <w:r>
              <w:rPr>
                <w:rFonts w:eastAsia="Times New Roman"/>
              </w:rPr>
              <w:t>Web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Science</w:t>
            </w:r>
            <w:proofErr w:type="spellEnd"/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Сопоставимость диагностических методов в оценке этиологической составляющей респираторной аллергии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/ А. А. Панина,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И. Г. Шушкова, Е. Д. Лютая</w:t>
            </w:r>
            <w:r>
              <w:rPr>
                <w:rFonts w:eastAsia="Times New Roman"/>
              </w:rPr>
              <w:t>// Вестник Волгоградского государственного медицинского университета. – 2021. – № 3. - С. 73-78. – http://doi.org/10.19163/1994-9480-2021-3(79)-73-78.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2021_3_Сопоставимость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открыто в </w:t>
            </w:r>
            <w:proofErr w:type="spellStart"/>
            <w:r>
              <w:rPr>
                <w:rFonts w:eastAsia="Times New Roman"/>
              </w:rPr>
              <w:t>elibrary</w:t>
            </w:r>
            <w:proofErr w:type="spellEnd"/>
            <w:r>
              <w:rPr>
                <w:rFonts w:eastAsia="Times New Roman"/>
              </w:rPr>
              <w:t>, от</w:t>
            </w:r>
            <w:r>
              <w:rPr>
                <w:rFonts w:eastAsia="Times New Roman"/>
              </w:rPr>
              <w:t>крыто на сайте вуза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Сублингвальная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аллергенспецифическая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иммунотерапия как оптимальный и безопасный метод лечения больных с </w:t>
            </w:r>
            <w:proofErr w:type="spellStart"/>
            <w:r>
              <w:rPr>
                <w:rFonts w:eastAsia="Times New Roman"/>
                <w:b/>
                <w:bCs/>
              </w:rPr>
              <w:t>аллергопатологией</w:t>
            </w:r>
            <w:proofErr w:type="spellEnd"/>
            <w:r>
              <w:rPr>
                <w:rFonts w:eastAsia="Times New Roman"/>
              </w:rPr>
              <w:t xml:space="preserve"> / Е. М. Костина,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Е. Ю. Трушина [и др.]</w:t>
            </w:r>
            <w:r>
              <w:rPr>
                <w:rFonts w:eastAsia="Times New Roman"/>
              </w:rPr>
              <w:t>// Практическая аллергология. – 2021. – №1. - С. 48-53. – http://doi.org/10.46393/2712-9667_2021_1_48-53.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2021_Условия социально-экономического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(21.04.2021)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t xml:space="preserve">   Роль </w:t>
            </w:r>
            <w:proofErr w:type="spellStart"/>
            <w:r>
              <w:rPr>
                <w:rFonts w:eastAsia="Times New Roman"/>
              </w:rPr>
              <w:t>микро</w:t>
            </w:r>
            <w:r>
              <w:rPr>
                <w:rFonts w:eastAsia="Times New Roman"/>
              </w:rPr>
              <w:t>низированной</w:t>
            </w:r>
            <w:proofErr w:type="spellEnd"/>
            <w:r>
              <w:rPr>
                <w:rFonts w:eastAsia="Times New Roman"/>
              </w:rPr>
              <w:t xml:space="preserve"> целлюлозы и экстракта дикого чеснока в лечении и профилактике </w:t>
            </w:r>
            <w:proofErr w:type="spellStart"/>
            <w:r>
              <w:rPr>
                <w:rFonts w:eastAsia="Times New Roman"/>
              </w:rPr>
              <w:t>ОРВИ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Е. В. </w:t>
            </w:r>
            <w:proofErr w:type="spellStart"/>
            <w:r>
              <w:rPr>
                <w:rFonts w:eastAsia="Times New Roman"/>
              </w:rPr>
              <w:t>Тибирькова</w:t>
            </w:r>
            <w:proofErr w:type="spellEnd"/>
            <w:r>
              <w:rPr>
                <w:rFonts w:eastAsia="Times New Roman"/>
              </w:rPr>
              <w:t xml:space="preserve">// </w:t>
            </w:r>
            <w:proofErr w:type="spellStart"/>
            <w:r>
              <w:rPr>
                <w:rFonts w:eastAsia="Times New Roman"/>
              </w:rPr>
              <w:t>Фарматека</w:t>
            </w:r>
            <w:proofErr w:type="spellEnd"/>
            <w:r>
              <w:rPr>
                <w:rFonts w:eastAsia="Times New Roman"/>
              </w:rPr>
              <w:t>. – 2021. – Т. 28, № 9. – С. 77-82. – https://dx.doi.org/10.18565/pharmateca.2021.9.77-82.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2021_Роль </w:t>
            </w:r>
            <w:proofErr w:type="spellStart"/>
            <w:r>
              <w:rPr>
                <w:rFonts w:eastAsia="Times New Roman"/>
              </w:rPr>
              <w:t>микронизированной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(19.03.2021)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Роль иммунологической толерантности в поддержании гомеостаза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role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immunological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tolerance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maintaining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homeostasis</w:t>
            </w:r>
            <w:proofErr w:type="spellEnd"/>
            <w:r>
              <w:rPr>
                <w:rFonts w:eastAsia="Times New Roman"/>
              </w:rPr>
              <w:t xml:space="preserve"> / Е. В. </w:t>
            </w:r>
            <w:proofErr w:type="spellStart"/>
            <w:r>
              <w:rPr>
                <w:rFonts w:eastAsia="Times New Roman"/>
              </w:rPr>
              <w:t>Тибирькова</w:t>
            </w:r>
            <w:proofErr w:type="spellEnd"/>
            <w:r>
              <w:rPr>
                <w:rFonts w:eastAsia="Times New Roman"/>
              </w:rPr>
              <w:t xml:space="preserve">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Желтова</w:t>
            </w:r>
            <w:proofErr w:type="spellEnd"/>
            <w:r>
              <w:rPr>
                <w:rFonts w:eastAsia="Times New Roman"/>
              </w:rPr>
              <w:t xml:space="preserve">, Т. Л.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t>// Астраханский медицинский журнал. – 2022. – Т. 17, № 4. - С. 31-40. – https://doi.org/10.48612/agmu/2022.17.4.31.40.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2022_Роль </w:t>
            </w:r>
            <w:proofErr w:type="gramStart"/>
            <w:r>
              <w:rPr>
                <w:rFonts w:eastAsia="Times New Roman"/>
              </w:rPr>
              <w:t>иммунологической</w:t>
            </w:r>
            <w:proofErr w:type="gram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журнала, 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t xml:space="preserve">   Клинико-иммунологические особенности </w:t>
            </w:r>
            <w:proofErr w:type="spellStart"/>
            <w:r>
              <w:rPr>
                <w:rFonts w:eastAsia="Times New Roman"/>
              </w:rPr>
              <w:t>атопического</w:t>
            </w:r>
            <w:proofErr w:type="spellEnd"/>
            <w:r>
              <w:rPr>
                <w:rFonts w:eastAsia="Times New Roman"/>
              </w:rPr>
              <w:t xml:space="preserve"> дерматита у детей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М. А. Чуева, Т. Л.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t>// Аллергология и иммунология в педиатрии. – 2022. – № 4. - С. 36-41. – https://doi.org/10.53529/2500-1175-2</w:t>
            </w:r>
            <w:r>
              <w:rPr>
                <w:rFonts w:eastAsia="Times New Roman"/>
              </w:rPr>
              <w:t>022-4-36-41.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2022_Клинико-иммунологические особенности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журнала, 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(20.12.2022)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</w:t>
            </w:r>
            <w:proofErr w:type="spellStart"/>
            <w:r>
              <w:rPr>
                <w:rFonts w:eastAsia="Times New Roman"/>
                <w:b/>
                <w:bCs/>
              </w:rPr>
              <w:t>цитокинового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статуса у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НР-негативным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хроническим гастритом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/ Н. С. </w:t>
            </w:r>
            <w:proofErr w:type="spellStart"/>
            <w:r>
              <w:rPr>
                <w:rFonts w:eastAsia="Times New Roman"/>
              </w:rPr>
              <w:t>Ираклионова</w:t>
            </w:r>
            <w:proofErr w:type="spellEnd"/>
            <w:r>
              <w:rPr>
                <w:rFonts w:eastAsia="Times New Roman"/>
              </w:rPr>
              <w:t xml:space="preserve">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С. В. Туркина, Е. М. Никифорова</w:t>
            </w:r>
            <w:r>
              <w:rPr>
                <w:rFonts w:eastAsia="Times New Roman"/>
              </w:rPr>
              <w:t>// Экспериментальная и клиническая гастроэнтерология. – 2022. – № 3(199). - С. 57-67. – https://doi.org/10.31146/1682-8658-ecg-199-3-57-67.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2022_Особенности </w:t>
            </w:r>
            <w:proofErr w:type="spellStart"/>
            <w:r>
              <w:rPr>
                <w:rFonts w:eastAsia="Times New Roman"/>
              </w:rPr>
              <w:t>цитокинового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Pr="00DF30C2" w:rsidRDefault="001A2BF3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открыто</w:t>
            </w:r>
            <w:r w:rsidRPr="00DF30C2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на</w:t>
            </w:r>
            <w:r w:rsidRPr="00DF30C2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сайт</w:t>
            </w:r>
            <w:r>
              <w:rPr>
                <w:rFonts w:eastAsia="Times New Roman"/>
              </w:rPr>
              <w:t>е</w:t>
            </w:r>
            <w:r w:rsidRPr="00DF30C2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журнала</w:t>
            </w:r>
            <w:r w:rsidRPr="00DF30C2">
              <w:rPr>
                <w:rFonts w:eastAsia="Times New Roman"/>
                <w:lang w:val="en-US"/>
              </w:rPr>
              <w:t>, Creative Commons Attribution 4.0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</w:rPr>
              <w:t xml:space="preserve">Перспективы использования растительных препаратов при </w:t>
            </w:r>
            <w:proofErr w:type="spellStart"/>
            <w:r>
              <w:rPr>
                <w:rFonts w:eastAsia="Times New Roman"/>
              </w:rPr>
              <w:t>ОРВИ</w:t>
            </w:r>
            <w:proofErr w:type="spellEnd"/>
            <w:r>
              <w:rPr>
                <w:rFonts w:eastAsia="Times New Roman"/>
              </w:rPr>
              <w:t xml:space="preserve"> у детей = </w:t>
            </w:r>
            <w:proofErr w:type="spellStart"/>
            <w:r>
              <w:rPr>
                <w:rFonts w:eastAsia="Times New Roman"/>
              </w:rPr>
              <w:t>Prospects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herbal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preparations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arvi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Е. М. Никифорова</w:t>
            </w:r>
            <w:r>
              <w:rPr>
                <w:rFonts w:eastAsia="Times New Roman"/>
              </w:rPr>
              <w:t xml:space="preserve">// </w:t>
            </w:r>
            <w:proofErr w:type="spellStart"/>
            <w:r>
              <w:rPr>
                <w:rFonts w:eastAsia="Times New Roman"/>
              </w:rPr>
              <w:t>Фарматека</w:t>
            </w:r>
            <w:proofErr w:type="spellEnd"/>
            <w:r>
              <w:rPr>
                <w:rFonts w:eastAsia="Times New Roman"/>
              </w:rPr>
              <w:t>. – 2022. – Т. 29, № 1. – С. 26-30. – https://dx.doi.org/10.18565/pharmateca.</w:t>
            </w:r>
            <w:r>
              <w:rPr>
                <w:rFonts w:eastAsia="Times New Roman"/>
              </w:rPr>
              <w:t>2022.1.26-30.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открыто на сайте журнала </w:t>
            </w:r>
            <w:proofErr w:type="spellStart"/>
            <w:r>
              <w:rPr>
                <w:rFonts w:eastAsia="Times New Roman"/>
              </w:rPr>
              <w:t>html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(31.01.2022)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Особенности продукции интерлейкинов-4, -8, -10 и -18 при нормально протекающей беременности в третьем триместре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/ А. В. Неклюдова,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М. В. Андреева, С. В. </w:t>
            </w:r>
            <w:proofErr w:type="spellStart"/>
            <w:r>
              <w:rPr>
                <w:rFonts w:eastAsia="Times New Roman"/>
              </w:rPr>
              <w:t>Копань</w:t>
            </w:r>
            <w:proofErr w:type="spellEnd"/>
            <w:r>
              <w:rPr>
                <w:rFonts w:eastAsia="Times New Roman"/>
              </w:rPr>
              <w:t>// Вестник Волгоградского государственного медицинского университета. – 2023. – Т. 20, № 2. - С. 74-77. – https://doi.org//10.19163/1994-9480-2023-20-2-74-77.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2023_2_Особенности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</w:t>
            </w:r>
            <w:r>
              <w:rPr>
                <w:rFonts w:eastAsia="Times New Roman"/>
              </w:rPr>
              <w:t>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 вопросу профилактики инфекционных осложнений у женщин после оперативного </w:t>
            </w:r>
            <w:proofErr w:type="spellStart"/>
            <w:r>
              <w:rPr>
                <w:rFonts w:eastAsia="Times New Roman"/>
                <w:b/>
                <w:bCs/>
              </w:rPr>
              <w:t>родоразрешения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=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issue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prevention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infectious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complications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women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after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surgical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delivery</w:t>
            </w:r>
            <w:proofErr w:type="spellEnd"/>
            <w:r>
              <w:rPr>
                <w:rFonts w:eastAsia="Times New Roman"/>
              </w:rPr>
              <w:t xml:space="preserve"> / М. В. Андреева, А. В. Неклюдова,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А. Е. Мирошников</w:t>
            </w:r>
            <w:r>
              <w:rPr>
                <w:rFonts w:eastAsia="Times New Roman"/>
              </w:rPr>
              <w:t>// Мать и дитя в Кузбассе. – 2023. – № 3(94). – С. 86-91. – http://doi.org/10.24412/2686-7338-2023-3-</w:t>
            </w:r>
            <w:r>
              <w:rPr>
                <w:rFonts w:eastAsia="Times New Roman"/>
              </w:rPr>
              <w:t>86-91.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2023_3</w:t>
            </w:r>
            <w:proofErr w:type="gramStart"/>
            <w:r>
              <w:rPr>
                <w:rFonts w:eastAsia="Times New Roman"/>
              </w:rPr>
              <w:t>_К</w:t>
            </w:r>
            <w:proofErr w:type="gramEnd"/>
            <w:r>
              <w:rPr>
                <w:rFonts w:eastAsia="Times New Roman"/>
              </w:rPr>
              <w:t xml:space="preserve"> вопросу профилактики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журнала, 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</w:rPr>
              <w:t xml:space="preserve">Возможность использования комбинации интерферона альфа-2b и комплексного </w:t>
            </w:r>
            <w:proofErr w:type="spellStart"/>
            <w:r>
              <w:rPr>
                <w:rFonts w:eastAsia="Times New Roman"/>
              </w:rPr>
              <w:t>иммуноглобулинового</w:t>
            </w:r>
            <w:proofErr w:type="spellEnd"/>
            <w:r>
              <w:rPr>
                <w:rFonts w:eastAsia="Times New Roman"/>
              </w:rPr>
              <w:t xml:space="preserve"> препарата при инфекционных заболеваниях у детей = </w:t>
            </w:r>
            <w:proofErr w:type="spellStart"/>
            <w:r>
              <w:rPr>
                <w:rFonts w:eastAsia="Times New Roman"/>
              </w:rPr>
              <w:t>Possibility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combination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interferon</w:t>
            </w:r>
            <w:proofErr w:type="spellEnd"/>
            <w:r>
              <w:rPr>
                <w:rFonts w:eastAsia="Times New Roman"/>
              </w:rPr>
              <w:t xml:space="preserve"> alpha-2b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complex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immunoglobulin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drug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infectious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</w:t>
            </w:r>
            <w:r>
              <w:rPr>
                <w:rFonts w:eastAsia="Times New Roman"/>
              </w:rPr>
              <w:t>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Е. М. Никифорова</w:t>
            </w:r>
            <w:r>
              <w:rPr>
                <w:rFonts w:eastAsia="Times New Roman"/>
              </w:rPr>
              <w:t xml:space="preserve">// </w:t>
            </w:r>
            <w:proofErr w:type="spellStart"/>
            <w:r>
              <w:rPr>
                <w:rFonts w:eastAsia="Times New Roman"/>
              </w:rPr>
              <w:t>Фарматека</w:t>
            </w:r>
            <w:proofErr w:type="spellEnd"/>
            <w:r>
              <w:rPr>
                <w:rFonts w:eastAsia="Times New Roman"/>
              </w:rPr>
              <w:t>. – 2023. – Т. 30, № 14. – С. 15-18. – https://dx.doi.org/10.18565/pharmateca.2023.14.15-18.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открыто на сайте журнала </w:t>
            </w:r>
            <w:proofErr w:type="spellStart"/>
            <w:r>
              <w:rPr>
                <w:rFonts w:eastAsia="Times New Roman"/>
              </w:rPr>
              <w:t>html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t>   Эффективнос</w:t>
            </w:r>
            <w:r>
              <w:rPr>
                <w:rFonts w:eastAsia="Times New Roman"/>
              </w:rPr>
              <w:t xml:space="preserve">ть </w:t>
            </w:r>
            <w:proofErr w:type="spellStart"/>
            <w:r>
              <w:rPr>
                <w:rFonts w:eastAsia="Times New Roman"/>
              </w:rPr>
              <w:t>осельтамивира</w:t>
            </w:r>
            <w:proofErr w:type="spellEnd"/>
            <w:r>
              <w:rPr>
                <w:rFonts w:eastAsia="Times New Roman"/>
              </w:rPr>
              <w:t xml:space="preserve"> в профилактике и лечении гриппа у детей = </w:t>
            </w:r>
            <w:proofErr w:type="spellStart"/>
            <w:r>
              <w:rPr>
                <w:rFonts w:eastAsia="Times New Roman"/>
              </w:rPr>
              <w:t>Effectiveness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oseltamivir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prevention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influenza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children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Е. М. Никифорова</w:t>
            </w:r>
            <w:r>
              <w:rPr>
                <w:rFonts w:eastAsia="Times New Roman"/>
              </w:rPr>
              <w:t xml:space="preserve">// </w:t>
            </w:r>
            <w:proofErr w:type="spellStart"/>
            <w:r>
              <w:rPr>
                <w:rFonts w:eastAsia="Times New Roman"/>
              </w:rPr>
              <w:t>Фарматека</w:t>
            </w:r>
            <w:proofErr w:type="spellEnd"/>
            <w:r>
              <w:rPr>
                <w:rFonts w:eastAsia="Times New Roman"/>
              </w:rPr>
              <w:t>. – 2023. – Т. 30, № 1-2. – С. 171-176. – https://dx.doi.org/10.185</w:t>
            </w:r>
            <w:r>
              <w:rPr>
                <w:rFonts w:eastAsia="Times New Roman"/>
              </w:rPr>
              <w:t>65/pharmateca.2023.1-2.171-176.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открыто на сайте журнала </w:t>
            </w:r>
            <w:proofErr w:type="spellStart"/>
            <w:r>
              <w:rPr>
                <w:rFonts w:eastAsia="Times New Roman"/>
              </w:rPr>
              <w:t>html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Содержание </w:t>
            </w:r>
            <w:proofErr w:type="spellStart"/>
            <w:r>
              <w:rPr>
                <w:rFonts w:eastAsia="Times New Roman"/>
                <w:b/>
                <w:bCs/>
              </w:rPr>
              <w:t>интерлейкинов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4, 6, 8, 10 в назальном смыве </w:t>
            </w:r>
            <w:proofErr w:type="gramStart"/>
            <w:r>
              <w:rPr>
                <w:rFonts w:eastAsia="Times New Roman"/>
                <w:b/>
                <w:bCs/>
              </w:rPr>
              <w:t>при</w:t>
            </w:r>
            <w:proofErr w:type="gramEnd"/>
            <w:r>
              <w:rPr>
                <w:rFonts w:eastAsia="Times New Roman"/>
                <w:b/>
                <w:bCs/>
              </w:rPr>
              <w:t xml:space="preserve"> хроническом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лиц пожилого и старческого возраста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А. В. Горшенин</w:t>
            </w:r>
            <w:r>
              <w:rPr>
                <w:rFonts w:eastAsia="Times New Roman"/>
              </w:rPr>
              <w:t>// Аспирантский вестник Поволжья. – 2024. – Т. 24, № 1. - С. 20-24. – https://doi.org/10.35693/AVP568785.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2024_Содержание </w:t>
            </w:r>
            <w:proofErr w:type="spellStart"/>
            <w:r>
              <w:rPr>
                <w:rFonts w:eastAsia="Times New Roman"/>
              </w:rPr>
              <w:t>интерлейкинов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Особенности </w:t>
            </w:r>
            <w:proofErr w:type="spellStart"/>
            <w:r>
              <w:rPr>
                <w:rFonts w:eastAsia="Times New Roman"/>
                <w:b/>
                <w:bCs/>
              </w:rPr>
              <w:t>микробиоты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зрелого и пожилого возраста в норме и при хроническом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риносинусите</w:t>
            </w:r>
            <w:proofErr w:type="spellEnd"/>
            <w:r>
              <w:rPr>
                <w:rFonts w:eastAsia="Times New Roman"/>
              </w:rPr>
              <w:t xml:space="preserve"> / Н. В. Тарасова, И. С. Степаненко,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t xml:space="preserve">// </w:t>
            </w:r>
            <w:proofErr w:type="spellStart"/>
            <w:r>
              <w:rPr>
                <w:rFonts w:eastAsia="Times New Roman"/>
              </w:rPr>
              <w:t>Folia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Otorhinolaryngologiae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Pathologiae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Respiratoriae</w:t>
            </w:r>
            <w:proofErr w:type="spellEnd"/>
            <w:r>
              <w:rPr>
                <w:rFonts w:eastAsia="Times New Roman"/>
              </w:rPr>
              <w:t>. – 2024. – Т. 30, №</w:t>
            </w:r>
            <w:r>
              <w:rPr>
                <w:rFonts w:eastAsia="Times New Roman"/>
              </w:rPr>
              <w:t xml:space="preserve"> 1. - С. 87-94. – http://doi.org/10.33848/fopr628996.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2024_Особенности </w:t>
            </w:r>
            <w:proofErr w:type="spellStart"/>
            <w:r>
              <w:rPr>
                <w:rFonts w:eastAsia="Times New Roman"/>
              </w:rPr>
              <w:t>микробиоты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текст кафедры, </w:t>
            </w:r>
            <w:proofErr w:type="spellStart"/>
            <w:r>
              <w:rPr>
                <w:rFonts w:eastAsia="Times New Roman"/>
              </w:rPr>
              <w:t>Эко-вектор</w:t>
            </w:r>
            <w:proofErr w:type="spellEnd"/>
            <w:r>
              <w:rPr>
                <w:rFonts w:eastAsia="Times New Roman"/>
              </w:rPr>
              <w:t>, подписка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(25.09.2024)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Микробная колонизация слизистой оболочки полости носа у пожилых людей с хроническим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риносинуситом</w:t>
            </w:r>
            <w:proofErr w:type="spellEnd"/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И. С. Степаненко, М. В. Соколова</w:t>
            </w:r>
            <w:r>
              <w:rPr>
                <w:rFonts w:eastAsia="Times New Roman"/>
              </w:rPr>
              <w:t>// Саратовский научно-медицинский журнал. – 2024. – Т. 20, № 2. – С. 121-126. – http://doi.org</w:t>
            </w:r>
            <w:r>
              <w:rPr>
                <w:rFonts w:eastAsia="Times New Roman"/>
              </w:rPr>
              <w:t>/10.15275/ssmj2002121.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2024_Микробная колонизация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(23.04.2024)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Уровень IL-4, IL-8, IL-10 в пуповинной крови доношенных детей в зависимости от медикаментозной дотации витамина D3 во время беременности</w:t>
            </w:r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Т. Е. </w:t>
            </w:r>
            <w:proofErr w:type="spellStart"/>
            <w:r>
              <w:rPr>
                <w:rFonts w:eastAsia="Times New Roman"/>
              </w:rPr>
              <w:t>Заячникова</w:t>
            </w:r>
            <w:proofErr w:type="spellEnd"/>
            <w:r>
              <w:rPr>
                <w:rFonts w:eastAsia="Times New Roman"/>
              </w:rPr>
              <w:t xml:space="preserve">, А. И.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t xml:space="preserve">, А. С. </w:t>
            </w:r>
            <w:proofErr w:type="spellStart"/>
            <w:r>
              <w:rPr>
                <w:rFonts w:eastAsia="Times New Roman"/>
              </w:rPr>
              <w:t>Стрыгин</w:t>
            </w:r>
            <w:proofErr w:type="spellEnd"/>
            <w:r>
              <w:rPr>
                <w:rFonts w:eastAsia="Times New Roman"/>
              </w:rPr>
              <w:t xml:space="preserve">// Астраханский медицинский журнал. – 2024. – Т. 19, № </w:t>
            </w:r>
            <w:r>
              <w:rPr>
                <w:rFonts w:eastAsia="Times New Roman"/>
              </w:rPr>
              <w:t>4. – С. 31-37. – https://doi.org/10.17021/1992-6499-2024-4-31-37.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2024_Уровень IL-4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журнала, 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(23.04.2024)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</w:rPr>
              <w:t xml:space="preserve">Эозинофильный эзофагит: что мы знаем и что мы можем?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Е. В. </w:t>
            </w:r>
            <w:proofErr w:type="spellStart"/>
            <w:r>
              <w:rPr>
                <w:rFonts w:eastAsia="Times New Roman"/>
              </w:rPr>
              <w:t>Тибирькова</w:t>
            </w:r>
            <w:proofErr w:type="spellEnd"/>
            <w:r>
              <w:rPr>
                <w:rFonts w:eastAsia="Times New Roman"/>
              </w:rPr>
              <w:t xml:space="preserve">// </w:t>
            </w:r>
            <w:proofErr w:type="spellStart"/>
            <w:r>
              <w:rPr>
                <w:rFonts w:eastAsia="Times New Roman"/>
              </w:rPr>
              <w:t>РМЖ</w:t>
            </w:r>
            <w:proofErr w:type="spellEnd"/>
            <w:r>
              <w:rPr>
                <w:rFonts w:eastAsia="Times New Roman"/>
              </w:rPr>
              <w:t>. Медицинское обозрение. – 2024. – Т. 8, № 3. – С. 150-154. – https://doi.org/10.32364/2587-6821-2024-8-3-5.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2024_Эозинофильный эзофагит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Pr="00DF30C2" w:rsidRDefault="001A2BF3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открыто</w:t>
            </w:r>
            <w:r w:rsidRPr="00DF30C2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на</w:t>
            </w:r>
            <w:r w:rsidRPr="00DF30C2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сайте</w:t>
            </w:r>
            <w:r w:rsidRPr="00DF30C2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журнал</w:t>
            </w:r>
            <w:r>
              <w:rPr>
                <w:rFonts w:eastAsia="Times New Roman"/>
              </w:rPr>
              <w:t>а</w:t>
            </w:r>
            <w:r w:rsidRPr="00DF30C2">
              <w:rPr>
                <w:rFonts w:eastAsia="Times New Roman"/>
                <w:lang w:val="en-US"/>
              </w:rPr>
              <w:t>, Creative Commons Attribution 4.0 International License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t xml:space="preserve">   Аллергия на латекс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Желтова</w:t>
            </w:r>
            <w:proofErr w:type="spellEnd"/>
            <w:r>
              <w:rPr>
                <w:rFonts w:eastAsia="Times New Roman"/>
              </w:rPr>
              <w:t xml:space="preserve">// </w:t>
            </w:r>
            <w:proofErr w:type="spellStart"/>
            <w:r>
              <w:rPr>
                <w:rFonts w:eastAsia="Times New Roman"/>
              </w:rPr>
              <w:t>РМЖ</w:t>
            </w:r>
            <w:proofErr w:type="spellEnd"/>
            <w:r>
              <w:rPr>
                <w:rFonts w:eastAsia="Times New Roman"/>
              </w:rPr>
              <w:t>. Медицинское обозрение. – 2025. – Т. 9, № 2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Аллергология. Иммунология. – С. 138-142.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2025_Аллергия на латекс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открыто на сайте журнала </w:t>
            </w:r>
            <w:proofErr w:type="spellStart"/>
            <w:r>
              <w:rPr>
                <w:rFonts w:eastAsia="Times New Roman"/>
              </w:rPr>
              <w:t>html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Scopus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Уровень растворимого рецептора к IL-2 у взрослых с </w:t>
            </w:r>
            <w:proofErr w:type="gramStart"/>
            <w:r>
              <w:rPr>
                <w:rFonts w:eastAsia="Times New Roman"/>
                <w:b/>
                <w:bCs/>
              </w:rPr>
              <w:t>хроническим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риносинуситом</w:t>
            </w:r>
            <w:proofErr w:type="spellEnd"/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Н. В. Тарасова, М. В. Соколова, А. В. Горшенин</w:t>
            </w:r>
            <w:r>
              <w:rPr>
                <w:rFonts w:eastAsia="Times New Roman"/>
              </w:rPr>
              <w:t>// Астраханский медицинский журнал. – 2025. – Т. 20, № 4. – С. 51-57. – https://doi.org/10.17021/1992-6499-2025-4-51-</w:t>
            </w:r>
            <w:r>
              <w:rPr>
                <w:rFonts w:eastAsia="Times New Roman"/>
              </w:rPr>
              <w:t>57.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2025_Уровень </w:t>
            </w:r>
            <w:proofErr w:type="gramStart"/>
            <w:r>
              <w:rPr>
                <w:rFonts w:eastAsia="Times New Roman"/>
              </w:rPr>
              <w:t>растворимого</w:t>
            </w:r>
            <w:proofErr w:type="gram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открыто на сайте журнала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Преимущества промывания полости носа большим объемом жидкости в послеоперационный период у больных тяжелым </w:t>
            </w:r>
            <w:proofErr w:type="spellStart"/>
            <w:r>
              <w:rPr>
                <w:rFonts w:eastAsia="Times New Roman"/>
                <w:b/>
                <w:bCs/>
              </w:rPr>
              <w:t>полипозом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носа перед закапыванием в нос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О. В. Абдурахманова</w:t>
            </w:r>
            <w:r>
              <w:rPr>
                <w:rFonts w:eastAsia="Times New Roman"/>
              </w:rPr>
              <w:t>// Саратовский научно-медицинский журнал. – 2025. – Т. 21, № 1. - С. 7-12. – https://doi.org/10.15275/ssmj2101007.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2025_Преимущества промывания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(10.06.2024)</w:t>
            </w:r>
          </w:p>
        </w:tc>
      </w:tr>
      <w:tr w:rsidR="00DF30C2" w:rsidTr="00DF30C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DF30C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Опыт промывания полости носа большим объемом жидкости в послеоперационном периоде у больных тяжелой формой </w:t>
            </w:r>
            <w:proofErr w:type="spellStart"/>
            <w:r>
              <w:rPr>
                <w:rFonts w:eastAsia="Times New Roman"/>
                <w:b/>
                <w:bCs/>
              </w:rPr>
              <w:t>полипоза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носа</w:t>
            </w:r>
            <w:r>
              <w:rPr>
                <w:rFonts w:eastAsia="Times New Roman"/>
              </w:rPr>
              <w:t xml:space="preserve">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>, М. В. Соколова, О. В. Абдурахманова</w:t>
            </w:r>
            <w:r>
              <w:rPr>
                <w:rFonts w:eastAsia="Times New Roman"/>
              </w:rPr>
              <w:t xml:space="preserve">// </w:t>
            </w:r>
            <w:proofErr w:type="spellStart"/>
            <w:r>
              <w:rPr>
                <w:rFonts w:eastAsia="Times New Roman"/>
              </w:rPr>
              <w:t>РМЖ</w:t>
            </w:r>
            <w:proofErr w:type="spellEnd"/>
            <w:r>
              <w:rPr>
                <w:rFonts w:eastAsia="Times New Roman"/>
              </w:rPr>
              <w:t>. – 2025. – № 1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Болезни дыхательных путей. Оториноларингология. – С. 43-48. – http://doi.org/10.32364/2225-2282-2025-1-9 .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2025_Опыт промывания 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РИНЦ, открытый доступ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00000" w:rsidRDefault="001A2BF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ВАК (09.12.2024)</w:t>
            </w:r>
          </w:p>
        </w:tc>
      </w:tr>
    </w:tbl>
    <w:p w:rsidR="001A2BF3" w:rsidRDefault="001A2BF3">
      <w:pPr>
        <w:rPr>
          <w:rFonts w:eastAsia="Times New Roman"/>
        </w:rPr>
      </w:pPr>
    </w:p>
    <w:sectPr w:rsidR="001A2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781A33"/>
    <w:rsid w:val="001A2BF3"/>
    <w:rsid w:val="00781A33"/>
    <w:rsid w:val="00DF3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1358</Words>
  <Characters>7743</Characters>
  <Application>Microsoft Office Word</Application>
  <DocSecurity>0</DocSecurity>
  <Lines>64</Lines>
  <Paragraphs>18</Paragraphs>
  <ScaleCrop>false</ScaleCrop>
  <Company/>
  <LinksUpToDate>false</LinksUpToDate>
  <CharactersWithSpaces>9083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2026-08-31T13:14:00Z</dcterms:created>
  <dcterms:modified xsi:type="dcterms:W3CDTF">2026-08-31T13:18:00Z</dcterms:modified>
</cp:coreProperties>
</file>